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3E858" w14:textId="3B0B5EC3" w:rsidR="002B06B2" w:rsidRPr="00AF46E2" w:rsidRDefault="00E07A55" w:rsidP="00AF4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heme="majorHAnsi" w:eastAsia="Times New Roman" w:hAnsiTheme="majorHAnsi" w:cstheme="minorHAnsi"/>
          <w:b/>
          <w:lang w:eastAsia="it-IT"/>
        </w:rPr>
      </w:pPr>
      <w:r w:rsidRPr="00AF46E2">
        <w:rPr>
          <w:rFonts w:asciiTheme="majorHAnsi" w:eastAsia="Times New Roman" w:hAnsiTheme="majorHAnsi" w:cstheme="minorHAnsi"/>
          <w:b/>
          <w:lang w:eastAsia="it-IT"/>
        </w:rPr>
        <w:t>D. Lgs</w:t>
      </w:r>
      <w:r w:rsidR="002B06B2" w:rsidRPr="00AF46E2">
        <w:rPr>
          <w:rFonts w:asciiTheme="majorHAnsi" w:eastAsia="Times New Roman" w:hAnsiTheme="majorHAnsi" w:cstheme="minorHAnsi"/>
          <w:b/>
          <w:lang w:eastAsia="it-IT"/>
        </w:rPr>
        <w:t>.</w:t>
      </w:r>
      <w:r w:rsidR="00AF46E2" w:rsidRPr="00AF46E2">
        <w:rPr>
          <w:rFonts w:asciiTheme="majorHAnsi" w:eastAsia="Times New Roman" w:hAnsiTheme="majorHAnsi" w:cstheme="minorHAnsi"/>
          <w:b/>
          <w:lang w:eastAsia="it-IT"/>
        </w:rPr>
        <w:t xml:space="preserve"> </w:t>
      </w:r>
      <w:r w:rsidR="002B06B2" w:rsidRPr="00AF46E2">
        <w:rPr>
          <w:rFonts w:asciiTheme="majorHAnsi" w:eastAsia="Times New Roman" w:hAnsiTheme="majorHAnsi" w:cstheme="minorHAnsi"/>
          <w:b/>
          <w:lang w:eastAsia="it-IT"/>
        </w:rPr>
        <w:t xml:space="preserve">117/2017 </w:t>
      </w:r>
      <w:r w:rsidR="00AF46E2" w:rsidRPr="00AF46E2">
        <w:rPr>
          <w:rFonts w:asciiTheme="majorHAnsi" w:eastAsia="Times New Roman" w:hAnsiTheme="majorHAnsi" w:cstheme="minorHAnsi"/>
          <w:b/>
          <w:lang w:eastAsia="it-IT"/>
        </w:rPr>
        <w:t>–</w:t>
      </w:r>
      <w:r w:rsidR="002B06B2" w:rsidRPr="00AF46E2">
        <w:rPr>
          <w:rFonts w:asciiTheme="majorHAnsi" w:eastAsia="Times New Roman" w:hAnsiTheme="majorHAnsi" w:cstheme="minorHAnsi"/>
          <w:b/>
          <w:lang w:eastAsia="it-IT"/>
        </w:rPr>
        <w:t xml:space="preserve"> </w:t>
      </w:r>
      <w:r w:rsidR="00AF46E2" w:rsidRPr="00AF46E2">
        <w:rPr>
          <w:rFonts w:asciiTheme="majorHAnsi" w:eastAsia="Times New Roman" w:hAnsiTheme="majorHAnsi" w:cstheme="minorHAnsi"/>
          <w:b/>
          <w:lang w:eastAsia="it-IT"/>
        </w:rPr>
        <w:t xml:space="preserve">CODICE DEL </w:t>
      </w:r>
      <w:r w:rsidR="002B06B2" w:rsidRPr="00AF46E2">
        <w:rPr>
          <w:rFonts w:asciiTheme="majorHAnsi" w:eastAsia="Times New Roman" w:hAnsiTheme="majorHAnsi" w:cstheme="minorHAnsi"/>
          <w:b/>
          <w:lang w:eastAsia="it-IT"/>
        </w:rPr>
        <w:t>TERZO SETTORE</w:t>
      </w:r>
    </w:p>
    <w:p w14:paraId="65DE5A9E" w14:textId="77777777" w:rsidR="00AF46E2" w:rsidRPr="00AF46E2" w:rsidRDefault="00AF46E2" w:rsidP="00AF4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heme="majorHAnsi" w:eastAsia="Times New Roman" w:hAnsiTheme="majorHAnsi" w:cs="Courier New"/>
          <w:b/>
          <w:lang w:eastAsia="it-IT"/>
        </w:rPr>
      </w:pPr>
    </w:p>
    <w:p w14:paraId="3A38524D" w14:textId="77777777" w:rsidR="00E07A55" w:rsidRDefault="00E07A55" w:rsidP="00AF46E2">
      <w:pPr>
        <w:spacing w:after="0" w:line="360" w:lineRule="auto"/>
        <w:jc w:val="both"/>
        <w:rPr>
          <w:rFonts w:asciiTheme="majorHAnsi" w:eastAsia="Times New Roman" w:hAnsiTheme="majorHAnsi" w:cstheme="minorHAnsi"/>
          <w:b/>
          <w:lang w:eastAsia="it-IT"/>
        </w:rPr>
      </w:pPr>
      <w:r w:rsidRPr="00436434">
        <w:rPr>
          <w:rFonts w:asciiTheme="majorHAnsi" w:eastAsia="Times New Roman" w:hAnsiTheme="majorHAnsi" w:cstheme="minorHAnsi"/>
          <w:b/>
          <w:lang w:val="en-US" w:eastAsia="it-IT"/>
        </w:rPr>
        <w:t xml:space="preserve">Art. 5. </w:t>
      </w:r>
      <w:r w:rsidRPr="00436434">
        <w:rPr>
          <w:rFonts w:asciiTheme="majorHAnsi" w:eastAsia="Times New Roman" w:hAnsiTheme="majorHAnsi" w:cstheme="minorHAnsi"/>
          <w:b/>
          <w:lang w:eastAsia="it-IT"/>
        </w:rPr>
        <w:t>Attività di interesse generale</w:t>
      </w:r>
    </w:p>
    <w:p w14:paraId="2D93E906" w14:textId="77777777" w:rsidR="00AF46E2" w:rsidRPr="00436434" w:rsidRDefault="00AF46E2" w:rsidP="00AF46E2">
      <w:pPr>
        <w:spacing w:after="0" w:line="360" w:lineRule="auto"/>
        <w:jc w:val="both"/>
        <w:rPr>
          <w:rFonts w:asciiTheme="majorHAnsi" w:eastAsia="Times New Roman" w:hAnsiTheme="majorHAnsi" w:cstheme="minorHAnsi"/>
          <w:b/>
          <w:lang w:eastAsia="it-IT"/>
        </w:rPr>
      </w:pPr>
    </w:p>
    <w:p w14:paraId="1DBA1CA8" w14:textId="2A31669D" w:rsidR="00E07A55" w:rsidRPr="00436434" w:rsidRDefault="00E07A55" w:rsidP="00AF46E2">
      <w:pPr>
        <w:pStyle w:val="Paragrafoelenco"/>
        <w:numPr>
          <w:ilvl w:val="0"/>
          <w:numId w:val="4"/>
        </w:numPr>
        <w:spacing w:after="0" w:line="360" w:lineRule="auto"/>
        <w:ind w:left="284" w:hanging="284"/>
        <w:jc w:val="both"/>
        <w:rPr>
          <w:rFonts w:asciiTheme="majorHAnsi" w:eastAsia="Times New Roman" w:hAnsiTheme="majorHAnsi" w:cstheme="minorHAnsi"/>
          <w:lang w:eastAsia="it-IT"/>
        </w:rPr>
      </w:pPr>
      <w:r w:rsidRPr="00436434">
        <w:rPr>
          <w:rFonts w:asciiTheme="majorHAnsi" w:eastAsia="Times New Roman" w:hAnsiTheme="majorHAnsi" w:cstheme="minorHAnsi"/>
          <w:lang w:eastAsia="it-IT"/>
        </w:rPr>
        <w:t>Gli enti del Terzo settore, diversi dalle imprese sociali incluse le cooperative sociali, esercitano in via esclusiva o principale una o più attività di interesse generale per il perseguimento, senza scopo di lucro, di finalità civiche, solidaristiche e di utilità sociale. Si considerano di interesse generale, se svolte in conformità alle norme particolari che ne disciplinano l'esercizio, le attività aventi ad oggetto:</w:t>
      </w:r>
    </w:p>
    <w:p w14:paraId="0D226044" w14:textId="77777777" w:rsid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interventi e servizi sociali ai sensi dell'</w:t>
      </w:r>
      <w:hyperlink r:id="rId5" w:tgtFrame="_blank" w:history="1">
        <w:r w:rsidRPr="00436434">
          <w:rPr>
            <w:rFonts w:asciiTheme="majorHAnsi" w:eastAsia="Times New Roman" w:hAnsiTheme="majorHAnsi" w:cs="Times New Roman"/>
            <w:color w:val="0066CC"/>
            <w:u w:val="single"/>
            <w:lang w:eastAsia="it-IT"/>
          </w:rPr>
          <w:t>articolo 1, commi 1</w:t>
        </w:r>
      </w:hyperlink>
      <w:r w:rsidRPr="00436434">
        <w:rPr>
          <w:rFonts w:asciiTheme="majorHAnsi" w:eastAsia="Times New Roman" w:hAnsiTheme="majorHAnsi" w:cs="Times New Roman"/>
          <w:color w:val="19191A"/>
          <w:lang w:eastAsia="it-IT"/>
        </w:rPr>
        <w:t> e </w:t>
      </w:r>
      <w:hyperlink r:id="rId6" w:tgtFrame="_blank" w:history="1">
        <w:r w:rsidRPr="00436434">
          <w:rPr>
            <w:rFonts w:asciiTheme="majorHAnsi" w:eastAsia="Times New Roman" w:hAnsiTheme="majorHAnsi" w:cs="Times New Roman"/>
            <w:color w:val="0066CC"/>
            <w:u w:val="single"/>
            <w:lang w:eastAsia="it-IT"/>
          </w:rPr>
          <w:t>2, della legge 8 novembre 2000, n. 328</w:t>
        </w:r>
      </w:hyperlink>
      <w:r w:rsidRPr="00436434">
        <w:rPr>
          <w:rFonts w:asciiTheme="majorHAnsi" w:eastAsia="Times New Roman" w:hAnsiTheme="majorHAnsi" w:cs="Times New Roman"/>
          <w:color w:val="19191A"/>
          <w:lang w:eastAsia="it-IT"/>
        </w:rPr>
        <w:t>, e successive modificazioni, e interventi, servizi e prestazioni di cui alla </w:t>
      </w:r>
      <w:hyperlink r:id="rId7" w:tgtFrame="_blank" w:history="1">
        <w:r w:rsidRPr="00436434">
          <w:rPr>
            <w:rFonts w:asciiTheme="majorHAnsi" w:eastAsia="Times New Roman" w:hAnsiTheme="majorHAnsi" w:cs="Times New Roman"/>
            <w:color w:val="0066CC"/>
            <w:u w:val="single"/>
            <w:lang w:eastAsia="it-IT"/>
          </w:rPr>
          <w:t>legge 5 febbraio 1992, n. 104</w:t>
        </w:r>
      </w:hyperlink>
      <w:r w:rsidRPr="00436434">
        <w:rPr>
          <w:rFonts w:asciiTheme="majorHAnsi" w:eastAsia="Times New Roman" w:hAnsiTheme="majorHAnsi" w:cs="Times New Roman"/>
          <w:color w:val="19191A"/>
          <w:lang w:eastAsia="it-IT"/>
        </w:rPr>
        <w:t>, e alla </w:t>
      </w:r>
      <w:hyperlink r:id="rId8" w:tgtFrame="_blank" w:history="1">
        <w:r w:rsidRPr="00436434">
          <w:rPr>
            <w:rFonts w:asciiTheme="majorHAnsi" w:eastAsia="Times New Roman" w:hAnsiTheme="majorHAnsi" w:cs="Times New Roman"/>
            <w:color w:val="0066CC"/>
            <w:u w:val="single"/>
            <w:lang w:eastAsia="it-IT"/>
          </w:rPr>
          <w:t>legge 22 giugno 2016, n. 112</w:t>
        </w:r>
      </w:hyperlink>
      <w:r w:rsidRPr="00436434">
        <w:rPr>
          <w:rFonts w:asciiTheme="majorHAnsi" w:eastAsia="Times New Roman" w:hAnsiTheme="majorHAnsi" w:cs="Times New Roman"/>
          <w:color w:val="19191A"/>
          <w:lang w:eastAsia="it-IT"/>
        </w:rPr>
        <w:t>, e successive modificazioni;</w:t>
      </w:r>
    </w:p>
    <w:p w14:paraId="0DE16750" w14:textId="3AC25C95"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interventi e prestazioni sanitarie;</w:t>
      </w:r>
    </w:p>
    <w:p w14:paraId="1B4512B3" w14:textId="1B4EAA63"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prestazioni socio-sanitarie di cui al </w:t>
      </w:r>
      <w:hyperlink r:id="rId9" w:tgtFrame="_blank" w:history="1">
        <w:r w:rsidRPr="00436434">
          <w:rPr>
            <w:rFonts w:asciiTheme="majorHAnsi" w:eastAsia="Times New Roman" w:hAnsiTheme="majorHAnsi" w:cs="Times New Roman"/>
            <w:color w:val="0066CC"/>
            <w:u w:val="single"/>
            <w:lang w:eastAsia="it-IT"/>
          </w:rPr>
          <w:t>decreto del Presidente del Consiglio dei ministri 14 febbraio 2001, pubblicato nella Gazzetta Ufficiale n. 129 del 6 giugno 2001</w:t>
        </w:r>
      </w:hyperlink>
      <w:r w:rsidRPr="00436434">
        <w:rPr>
          <w:rFonts w:asciiTheme="majorHAnsi" w:eastAsia="Times New Roman" w:hAnsiTheme="majorHAnsi" w:cs="Times New Roman"/>
          <w:color w:val="19191A"/>
          <w:lang w:eastAsia="it-IT"/>
        </w:rPr>
        <w:t>, e successive modificazioni;</w:t>
      </w:r>
    </w:p>
    <w:p w14:paraId="43EB1E11" w14:textId="4CAD5188"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bookmarkStart w:id="0" w:name="_Hlk216682109"/>
      <w:r w:rsidRPr="00436434">
        <w:rPr>
          <w:rFonts w:asciiTheme="majorHAnsi" w:eastAsia="Times New Roman" w:hAnsiTheme="majorHAnsi" w:cs="Times New Roman"/>
          <w:color w:val="19191A"/>
          <w:lang w:eastAsia="it-IT"/>
        </w:rPr>
        <w:t>educazione, istruzione e formazione professionale, ai sensi della </w:t>
      </w:r>
      <w:hyperlink r:id="rId10" w:tgtFrame="_blank" w:history="1">
        <w:r w:rsidRPr="00436434">
          <w:rPr>
            <w:rFonts w:asciiTheme="majorHAnsi" w:eastAsia="Times New Roman" w:hAnsiTheme="majorHAnsi" w:cs="Times New Roman"/>
            <w:color w:val="0066CC"/>
            <w:u w:val="single"/>
            <w:lang w:eastAsia="it-IT"/>
          </w:rPr>
          <w:t>legge 28 marzo 2003, n. 53</w:t>
        </w:r>
      </w:hyperlink>
      <w:r w:rsidRPr="00436434">
        <w:rPr>
          <w:rFonts w:asciiTheme="majorHAnsi" w:eastAsia="Times New Roman" w:hAnsiTheme="majorHAnsi" w:cs="Times New Roman"/>
          <w:color w:val="19191A"/>
          <w:lang w:eastAsia="it-IT"/>
        </w:rPr>
        <w:t>, e successive modificazioni, nonché le attività culturali di interesse sociale con finalità educativa;</w:t>
      </w:r>
    </w:p>
    <w:bookmarkEnd w:id="0"/>
    <w:p w14:paraId="49F10AD2" w14:textId="58874E6A"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interventi e servizi finalizzati alla salvaguardia e al miglioramento delle condizioni dell'ambiente e all'utilizzazione accorta e razionale delle risorse naturali, con esclusione dell'attività, esercitata abitualmente, di raccolta e riciclaggio dei rifiuti urbani, speciali e pericolosi, </w:t>
      </w:r>
      <w:r w:rsidRPr="00436434">
        <w:rPr>
          <w:rFonts w:asciiTheme="majorHAnsi" w:eastAsia="Times New Roman" w:hAnsiTheme="majorHAnsi" w:cs="Times New Roman"/>
          <w:b/>
          <w:bCs/>
          <w:i/>
          <w:iCs/>
          <w:color w:val="19191A"/>
          <w:lang w:eastAsia="it-IT"/>
        </w:rPr>
        <w:t>((alla tutela degli animali e alla prevenzione del randagismo, ai sensi della </w:t>
      </w:r>
      <w:hyperlink r:id="rId11" w:tgtFrame="_blank" w:history="1">
        <w:r w:rsidRPr="00436434">
          <w:rPr>
            <w:rFonts w:asciiTheme="majorHAnsi" w:eastAsia="Times New Roman" w:hAnsiTheme="majorHAnsi" w:cs="Times New Roman"/>
            <w:b/>
            <w:bCs/>
            <w:i/>
            <w:iCs/>
            <w:color w:val="0066CC"/>
            <w:u w:val="single"/>
            <w:lang w:eastAsia="it-IT"/>
          </w:rPr>
          <w:t>legge 14 agosto 1991, n. 281</w:t>
        </w:r>
      </w:hyperlink>
      <w:r w:rsidRPr="00436434">
        <w:rPr>
          <w:rFonts w:asciiTheme="majorHAnsi" w:eastAsia="Times New Roman" w:hAnsiTheme="majorHAnsi" w:cs="Times New Roman"/>
          <w:b/>
          <w:bCs/>
          <w:i/>
          <w:iCs/>
          <w:color w:val="19191A"/>
          <w:lang w:eastAsia="it-IT"/>
        </w:rPr>
        <w:t>, nonché alla produzione, all'accumulo e alla condivisione di energia da fonti rinnovabili a fini di autoconsumo, ai sensi del </w:t>
      </w:r>
      <w:hyperlink r:id="rId12" w:tgtFrame="_blank" w:history="1">
        <w:r w:rsidRPr="00436434">
          <w:rPr>
            <w:rFonts w:asciiTheme="majorHAnsi" w:eastAsia="Times New Roman" w:hAnsiTheme="majorHAnsi" w:cs="Times New Roman"/>
            <w:b/>
            <w:bCs/>
            <w:i/>
            <w:iCs/>
            <w:color w:val="0066CC"/>
            <w:u w:val="single"/>
            <w:lang w:eastAsia="it-IT"/>
          </w:rPr>
          <w:t>decreto legislativo 8 novembre 2021, n. 199</w:t>
        </w:r>
      </w:hyperlink>
      <w:r w:rsidRPr="00436434">
        <w:rPr>
          <w:rFonts w:asciiTheme="majorHAnsi" w:eastAsia="Times New Roman" w:hAnsiTheme="majorHAnsi" w:cs="Times New Roman"/>
          <w:b/>
          <w:bCs/>
          <w:i/>
          <w:iCs/>
          <w:color w:val="19191A"/>
          <w:lang w:eastAsia="it-IT"/>
        </w:rPr>
        <w:t>))</w:t>
      </w:r>
    </w:p>
    <w:p w14:paraId="3F38F4CE" w14:textId="224CE9C5"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interventi di tutela e valorizzazione del patrimonio culturale e del paesaggio, ai sensi del </w:t>
      </w:r>
      <w:hyperlink r:id="rId13" w:tgtFrame="_blank" w:history="1">
        <w:r w:rsidRPr="00436434">
          <w:rPr>
            <w:rFonts w:asciiTheme="majorHAnsi" w:eastAsia="Times New Roman" w:hAnsiTheme="majorHAnsi" w:cs="Times New Roman"/>
            <w:color w:val="0066CC"/>
            <w:u w:val="single"/>
            <w:lang w:eastAsia="it-IT"/>
          </w:rPr>
          <w:t>decreto legislativo 22 gennaio 2004, n. 42</w:t>
        </w:r>
      </w:hyperlink>
      <w:r w:rsidRPr="00436434">
        <w:rPr>
          <w:rFonts w:asciiTheme="majorHAnsi" w:eastAsia="Times New Roman" w:hAnsiTheme="majorHAnsi" w:cs="Times New Roman"/>
          <w:color w:val="19191A"/>
          <w:lang w:eastAsia="it-IT"/>
        </w:rPr>
        <w:t>, e successive modificazioni;</w:t>
      </w:r>
    </w:p>
    <w:p w14:paraId="071451F7" w14:textId="3B63ED8C"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formazione universitaria e post-universitaria;</w:t>
      </w:r>
    </w:p>
    <w:p w14:paraId="31991D04" w14:textId="2A650785"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ricerca scientifica di particolare interesse sociale;</w:t>
      </w:r>
    </w:p>
    <w:p w14:paraId="59FAE357" w14:textId="48344CC4"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organizzazione e gestione di attività culturali, artistiche o ricreative di interesse sociale, incluse attività, anche editoriali, di promozione e diffusione della cultura e della pratica del volontariato e delle attività di interesse generale di cui al presente articolo;</w:t>
      </w:r>
    </w:p>
    <w:p w14:paraId="08F065FD" w14:textId="5F58E13A"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radiodiffusione sonora a carattere comunitario, ai sensi dell'</w:t>
      </w:r>
      <w:hyperlink r:id="rId14" w:tgtFrame="_blank" w:history="1">
        <w:r w:rsidRPr="00436434">
          <w:rPr>
            <w:rFonts w:asciiTheme="majorHAnsi" w:eastAsia="Times New Roman" w:hAnsiTheme="majorHAnsi" w:cs="Times New Roman"/>
            <w:color w:val="0066CC"/>
            <w:u w:val="single"/>
            <w:lang w:eastAsia="it-IT"/>
          </w:rPr>
          <w:t>articolo 16, comma 5, della legge 6 agosto 1990, n. 223</w:t>
        </w:r>
      </w:hyperlink>
      <w:r w:rsidRPr="00436434">
        <w:rPr>
          <w:rFonts w:asciiTheme="majorHAnsi" w:eastAsia="Times New Roman" w:hAnsiTheme="majorHAnsi" w:cs="Times New Roman"/>
          <w:color w:val="19191A"/>
          <w:lang w:eastAsia="it-IT"/>
        </w:rPr>
        <w:t>, e successive modificazioni;</w:t>
      </w:r>
    </w:p>
    <w:p w14:paraId="0985452C" w14:textId="7F176171"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organizzazione e gestione di attività turistiche di interesse sociale, culturale o religioso;</w:t>
      </w:r>
    </w:p>
    <w:p w14:paraId="58BB6D8B" w14:textId="28E67F81"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formazione extra-scolastica, finalizzata alla prevenzione della dispersione scolastica e al successo scolastico e formativo, alla prevenzione del bullismo e al contrasto della povertà educativa;</w:t>
      </w:r>
    </w:p>
    <w:p w14:paraId="29664F0E" w14:textId="287CC123"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servizi strumentali ad enti del Terzo settore resi da enti composti in misura non inferiore al settanta per cento da enti del Terzo settore;</w:t>
      </w:r>
    </w:p>
    <w:p w14:paraId="54F39298" w14:textId="6DFAEBFD"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lastRenderedPageBreak/>
        <w:t>cooperazione allo sviluppo, ai sensi della </w:t>
      </w:r>
      <w:hyperlink r:id="rId15" w:tgtFrame="_blank" w:history="1">
        <w:r w:rsidRPr="00436434">
          <w:rPr>
            <w:rFonts w:asciiTheme="majorHAnsi" w:eastAsia="Times New Roman" w:hAnsiTheme="majorHAnsi" w:cs="Times New Roman"/>
            <w:color w:val="0066CC"/>
            <w:u w:val="single"/>
            <w:lang w:eastAsia="it-IT"/>
          </w:rPr>
          <w:t>legge 11 agosto 2014, n. 125</w:t>
        </w:r>
      </w:hyperlink>
      <w:r w:rsidRPr="00436434">
        <w:rPr>
          <w:rFonts w:asciiTheme="majorHAnsi" w:eastAsia="Times New Roman" w:hAnsiTheme="majorHAnsi" w:cs="Times New Roman"/>
          <w:color w:val="19191A"/>
          <w:lang w:eastAsia="it-IT"/>
        </w:rPr>
        <w:t>, e successive modificazioni;</w:t>
      </w:r>
    </w:p>
    <w:p w14:paraId="1F4BA823" w14:textId="7744836F"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attività commerciali, produttive, di educazione e informazione, di promozione, di rappresentanza, di concessione in licenza di marchi di certificazione, svolte nell'ambito o a favore di filiere del commercio equo e solidale, da intendersi come un rapporto commerciale con un produttore operante in un'area economica svantaggiata, situata, di norma, in un Paese in via di sviluppo, sulla base di un accordo di lunga durata finalizzato a promuovere l'accesso del produttore al mercato e che preveda il pagamento di un prezzo equo, misure di sviluppo in favore del produttore e l'obbligo del produttore di garantire condizioni di lavoro sicure, nel rispetto delle normative nazionali ed internazionali, in modo da permettere ai lavoratori di condurre un'esistenza libera e dignitosa, e di rispettare i diritti sindacali, nonché di impegnarsi per il contrasto del lavoro infantile;</w:t>
      </w:r>
    </w:p>
    <w:p w14:paraId="347E152A" w14:textId="3AFDB72B"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servizi finalizzati all'inserimento o al reinserimento nel mercato del lavoro dei lavoratori e delle persone di cui all'articolo 2, comma 4, del decreto legislativo recante revisione della disciplina in materia di impresa sociale, di cui all'</w:t>
      </w:r>
      <w:hyperlink r:id="rId16" w:tgtFrame="_blank" w:history="1">
        <w:r w:rsidRPr="00436434">
          <w:rPr>
            <w:rFonts w:asciiTheme="majorHAnsi" w:eastAsia="Times New Roman" w:hAnsiTheme="majorHAnsi" w:cs="Times New Roman"/>
            <w:color w:val="0066CC"/>
            <w:u w:val="single"/>
            <w:lang w:eastAsia="it-IT"/>
          </w:rPr>
          <w:t>articolo 1, comma 2, lettera c), della legge 6 giugno 2016, n. 106</w:t>
        </w:r>
      </w:hyperlink>
      <w:r w:rsidRPr="00436434">
        <w:rPr>
          <w:rFonts w:asciiTheme="majorHAnsi" w:eastAsia="Times New Roman" w:hAnsiTheme="majorHAnsi" w:cs="Times New Roman"/>
          <w:color w:val="19191A"/>
          <w:lang w:eastAsia="it-IT"/>
        </w:rPr>
        <w:t>;</w:t>
      </w:r>
    </w:p>
    <w:p w14:paraId="63FECCEA" w14:textId="57CE3EAE"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alloggio sociale, ai sensi del decreto del Ministero delle infrastrutture del 22 aprile 2008, e successive modificazioni, nonché ogni altra attività di carattere residenziale temporaneo diretta a soddisfare bisogni sociali, sanitari, culturali, formativi o lavorativi;</w:t>
      </w:r>
    </w:p>
    <w:p w14:paraId="410812FC" w14:textId="1CF78DB5"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accoglienza umanitaria ed integrazione sociale dei migranti;</w:t>
      </w:r>
    </w:p>
    <w:p w14:paraId="6DCD2F8D" w14:textId="143EBE4A"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agricoltura sociale, ai sensi dell'</w:t>
      </w:r>
      <w:hyperlink r:id="rId17" w:tgtFrame="_blank" w:history="1">
        <w:r w:rsidRPr="00436434">
          <w:rPr>
            <w:rFonts w:asciiTheme="majorHAnsi" w:eastAsia="Times New Roman" w:hAnsiTheme="majorHAnsi" w:cs="Times New Roman"/>
            <w:color w:val="0066CC"/>
            <w:u w:val="single"/>
            <w:lang w:eastAsia="it-IT"/>
          </w:rPr>
          <w:t>articolo 2 della legge 18 agosto 2015, n. 141</w:t>
        </w:r>
      </w:hyperlink>
      <w:r w:rsidRPr="00436434">
        <w:rPr>
          <w:rFonts w:asciiTheme="majorHAnsi" w:eastAsia="Times New Roman" w:hAnsiTheme="majorHAnsi" w:cs="Times New Roman"/>
          <w:color w:val="19191A"/>
          <w:lang w:eastAsia="it-IT"/>
        </w:rPr>
        <w:t>, e successive modificazioni;</w:t>
      </w:r>
    </w:p>
    <w:p w14:paraId="73A6248A" w14:textId="0BDC8C75"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organizzazione e gestione di attività sportive dilettantistiche;</w:t>
      </w:r>
    </w:p>
    <w:p w14:paraId="47D4A6C3" w14:textId="1CB26582"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beneficenza, sostegno a distanza, cessione gratuita di alimenti o prodotti di cui alla </w:t>
      </w:r>
      <w:hyperlink r:id="rId18" w:tgtFrame="_blank" w:history="1">
        <w:r w:rsidRPr="00436434">
          <w:rPr>
            <w:rFonts w:asciiTheme="majorHAnsi" w:eastAsia="Times New Roman" w:hAnsiTheme="majorHAnsi" w:cs="Times New Roman"/>
            <w:color w:val="0066CC"/>
            <w:u w:val="single"/>
            <w:lang w:eastAsia="it-IT"/>
          </w:rPr>
          <w:t>legge 19 agosto 2016, n. 166</w:t>
        </w:r>
      </w:hyperlink>
      <w:r w:rsidRPr="00436434">
        <w:rPr>
          <w:rFonts w:asciiTheme="majorHAnsi" w:eastAsia="Times New Roman" w:hAnsiTheme="majorHAnsi" w:cs="Times New Roman"/>
          <w:color w:val="19191A"/>
          <w:lang w:eastAsia="it-IT"/>
        </w:rPr>
        <w:t>, e successive modificazioni, o erogazione di denaro, beni o servizi a sostegno di persone svantaggiate o di attività di interesse generale a norma del presente articolo;</w:t>
      </w:r>
    </w:p>
    <w:p w14:paraId="440E5E95" w14:textId="30C113FB"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promozione della cultura della legalità, della pace tra i popoli, della nonviolenza e della difesa non armata;</w:t>
      </w:r>
    </w:p>
    <w:p w14:paraId="764F4880" w14:textId="712F4EDB"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promozione e tutela dei diritti umani, civili, sociali e politici, nonché dei diritti dei consumatori e degli utenti delle attività di interesse generale di cui al presente articolo, promozione delle pari opportunità e delle iniziative di aiuto reciproco, incluse le banche dei tempi di cui all'</w:t>
      </w:r>
      <w:hyperlink r:id="rId19" w:tgtFrame="_blank" w:history="1">
        <w:r w:rsidRPr="00436434">
          <w:rPr>
            <w:rFonts w:asciiTheme="majorHAnsi" w:eastAsia="Times New Roman" w:hAnsiTheme="majorHAnsi" w:cs="Times New Roman"/>
            <w:color w:val="0066CC"/>
            <w:u w:val="single"/>
            <w:lang w:eastAsia="it-IT"/>
          </w:rPr>
          <w:t>articolo 27 della legge 8 marzo 2000, n. 53</w:t>
        </w:r>
      </w:hyperlink>
      <w:r w:rsidRPr="00436434">
        <w:rPr>
          <w:rFonts w:asciiTheme="majorHAnsi" w:eastAsia="Times New Roman" w:hAnsiTheme="majorHAnsi" w:cs="Times New Roman"/>
          <w:color w:val="19191A"/>
          <w:lang w:eastAsia="it-IT"/>
        </w:rPr>
        <w:t>, e i gruppi di acquisto solidale di cui all'</w:t>
      </w:r>
      <w:hyperlink r:id="rId20" w:tgtFrame="_blank" w:history="1">
        <w:r w:rsidRPr="00436434">
          <w:rPr>
            <w:rFonts w:asciiTheme="majorHAnsi" w:eastAsia="Times New Roman" w:hAnsiTheme="majorHAnsi" w:cs="Times New Roman"/>
            <w:color w:val="0066CC"/>
            <w:u w:val="single"/>
            <w:lang w:eastAsia="it-IT"/>
          </w:rPr>
          <w:t>articolo 1, comma 266, della legge 24 dicembre 2007, n. 244</w:t>
        </w:r>
      </w:hyperlink>
      <w:r w:rsidRPr="00436434">
        <w:rPr>
          <w:rFonts w:asciiTheme="majorHAnsi" w:eastAsia="Times New Roman" w:hAnsiTheme="majorHAnsi" w:cs="Times New Roman"/>
          <w:color w:val="19191A"/>
          <w:lang w:eastAsia="it-IT"/>
        </w:rPr>
        <w:t>;</w:t>
      </w:r>
    </w:p>
    <w:p w14:paraId="5A9D568D" w14:textId="29EAAE88"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cura di procedure di adozione internazionale ai sensi della </w:t>
      </w:r>
      <w:hyperlink r:id="rId21" w:tgtFrame="_blank" w:history="1">
        <w:r w:rsidRPr="00436434">
          <w:rPr>
            <w:rFonts w:asciiTheme="majorHAnsi" w:eastAsia="Times New Roman" w:hAnsiTheme="majorHAnsi" w:cs="Times New Roman"/>
            <w:color w:val="0066CC"/>
            <w:u w:val="single"/>
            <w:lang w:eastAsia="it-IT"/>
          </w:rPr>
          <w:t>legge 4 maggio 1983, n. 184</w:t>
        </w:r>
      </w:hyperlink>
      <w:r w:rsidRPr="00436434">
        <w:rPr>
          <w:rFonts w:asciiTheme="majorHAnsi" w:eastAsia="Times New Roman" w:hAnsiTheme="majorHAnsi" w:cs="Times New Roman"/>
          <w:color w:val="19191A"/>
          <w:lang w:eastAsia="it-IT"/>
        </w:rPr>
        <w:t>;</w:t>
      </w:r>
    </w:p>
    <w:p w14:paraId="610E4965" w14:textId="4A840ABB" w:rsidR="00436434" w:rsidRP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protezione civile ai sensi della </w:t>
      </w:r>
      <w:hyperlink r:id="rId22" w:tgtFrame="_blank" w:history="1">
        <w:r w:rsidRPr="00436434">
          <w:rPr>
            <w:rFonts w:asciiTheme="majorHAnsi" w:eastAsia="Times New Roman" w:hAnsiTheme="majorHAnsi" w:cs="Times New Roman"/>
            <w:color w:val="0066CC"/>
            <w:u w:val="single"/>
            <w:lang w:eastAsia="it-IT"/>
          </w:rPr>
          <w:t>legge 24 febbraio 1992, n. 225</w:t>
        </w:r>
      </w:hyperlink>
      <w:r w:rsidRPr="00436434">
        <w:rPr>
          <w:rFonts w:asciiTheme="majorHAnsi" w:eastAsia="Times New Roman" w:hAnsiTheme="majorHAnsi" w:cs="Times New Roman"/>
          <w:color w:val="19191A"/>
          <w:lang w:eastAsia="it-IT"/>
        </w:rPr>
        <w:t>, e successive modificazioni;</w:t>
      </w:r>
    </w:p>
    <w:p w14:paraId="7C22904A" w14:textId="7F90F44F" w:rsidR="00436434" w:rsidRDefault="00436434" w:rsidP="00AF46E2">
      <w:pPr>
        <w:pStyle w:val="Paragrafoelenco"/>
        <w:numPr>
          <w:ilvl w:val="0"/>
          <w:numId w:val="5"/>
        </w:numPr>
        <w:shd w:val="clear" w:color="auto" w:fill="FFFFFF"/>
        <w:spacing w:after="0" w:line="360" w:lineRule="auto"/>
        <w:jc w:val="both"/>
        <w:rPr>
          <w:rFonts w:asciiTheme="majorHAnsi" w:eastAsia="Times New Roman" w:hAnsiTheme="majorHAnsi" w:cs="Times New Roman"/>
          <w:color w:val="19191A"/>
          <w:lang w:eastAsia="it-IT"/>
        </w:rPr>
      </w:pPr>
      <w:r w:rsidRPr="00436434">
        <w:rPr>
          <w:rFonts w:asciiTheme="majorHAnsi" w:eastAsia="Times New Roman" w:hAnsiTheme="majorHAnsi" w:cs="Times New Roman"/>
          <w:color w:val="19191A"/>
          <w:lang w:eastAsia="it-IT"/>
        </w:rPr>
        <w:t>riqualificazione di beni pubblici inutilizzati o di beni confiscati alla criminalità organizzata.</w:t>
      </w:r>
    </w:p>
    <w:p w14:paraId="1C3A2831" w14:textId="77777777" w:rsidR="00AF46E2" w:rsidRPr="00AF46E2" w:rsidRDefault="00AF46E2" w:rsidP="00AF46E2">
      <w:pPr>
        <w:shd w:val="clear" w:color="auto" w:fill="FFFFFF"/>
        <w:spacing w:after="0" w:line="360" w:lineRule="auto"/>
        <w:jc w:val="both"/>
        <w:rPr>
          <w:rFonts w:asciiTheme="majorHAnsi" w:eastAsia="Times New Roman" w:hAnsiTheme="majorHAnsi" w:cs="Times New Roman"/>
          <w:color w:val="19191A"/>
          <w:lang w:eastAsia="it-IT"/>
        </w:rPr>
      </w:pPr>
    </w:p>
    <w:p w14:paraId="5506569A" w14:textId="60D62A9A" w:rsidR="00436434" w:rsidRPr="00436434" w:rsidRDefault="00436434" w:rsidP="00AF46E2">
      <w:pPr>
        <w:pStyle w:val="Paragrafoelenco"/>
        <w:numPr>
          <w:ilvl w:val="0"/>
          <w:numId w:val="4"/>
        </w:numPr>
        <w:shd w:val="clear" w:color="auto" w:fill="FFFFFF"/>
        <w:spacing w:after="0" w:line="360" w:lineRule="auto"/>
        <w:ind w:left="284" w:hanging="284"/>
        <w:jc w:val="both"/>
        <w:rPr>
          <w:rFonts w:asciiTheme="majorHAnsi" w:eastAsia="Times New Roman" w:hAnsiTheme="majorHAnsi" w:cs="Times New Roman"/>
          <w:color w:val="19191A"/>
          <w:lang w:eastAsia="it-IT"/>
        </w:rPr>
      </w:pPr>
      <w:r w:rsidRPr="00436434">
        <w:rPr>
          <w:rFonts w:asciiTheme="majorHAnsi" w:eastAsia="Times New Roman" w:hAnsiTheme="majorHAnsi" w:cstheme="minorHAnsi"/>
          <w:lang w:eastAsia="it-IT"/>
        </w:rPr>
        <w:lastRenderedPageBreak/>
        <w:t>Tenuto conto delle finalità civiche, solidaristiche e di utilità sociale</w:t>
      </w:r>
      <w:r w:rsidRPr="00436434">
        <w:rPr>
          <w:rFonts w:asciiTheme="majorHAnsi" w:eastAsia="Times New Roman" w:hAnsiTheme="majorHAnsi" w:cs="Times New Roman"/>
          <w:color w:val="19191A"/>
          <w:lang w:eastAsia="it-IT"/>
        </w:rPr>
        <w:t xml:space="preserve"> di cui all'</w:t>
      </w:r>
      <w:hyperlink r:id="rId23" w:tgtFrame="_blank" w:history="1">
        <w:r w:rsidRPr="00436434">
          <w:rPr>
            <w:rFonts w:asciiTheme="majorHAnsi" w:eastAsia="Times New Roman" w:hAnsiTheme="majorHAnsi" w:cs="Times New Roman"/>
            <w:color w:val="0066CC"/>
            <w:u w:val="single"/>
            <w:lang w:eastAsia="it-IT"/>
          </w:rPr>
          <w:t>articolo 1, comma 1, della legge 6 giugno 2016, n. 106</w:t>
        </w:r>
      </w:hyperlink>
      <w:r w:rsidRPr="00436434">
        <w:rPr>
          <w:rFonts w:asciiTheme="majorHAnsi" w:eastAsia="Times New Roman" w:hAnsiTheme="majorHAnsi" w:cs="Times New Roman"/>
          <w:color w:val="19191A"/>
          <w:lang w:eastAsia="it-IT"/>
        </w:rPr>
        <w:t>, nonché delle finalità e dei principi di cui agli articoli 1 e 2 del presente Codice, l'elenco delle attività di interesse generale di cui al comma 1 può essere aggiornato con decreto del Presidente del Consiglio dei ministri da adottarsi ai sensi dell'</w:t>
      </w:r>
      <w:hyperlink r:id="rId24" w:tgtFrame="_blank" w:history="1">
        <w:r w:rsidRPr="00436434">
          <w:rPr>
            <w:rFonts w:asciiTheme="majorHAnsi" w:eastAsia="Times New Roman" w:hAnsiTheme="majorHAnsi" w:cs="Times New Roman"/>
            <w:color w:val="0066CC"/>
            <w:u w:val="single"/>
            <w:lang w:eastAsia="it-IT"/>
          </w:rPr>
          <w:t>articolo 17, comma 3, della legge 23 agosto 1988, n. 400</w:t>
        </w:r>
      </w:hyperlink>
      <w:r w:rsidRPr="00436434">
        <w:rPr>
          <w:rFonts w:asciiTheme="majorHAnsi" w:eastAsia="Times New Roman" w:hAnsiTheme="majorHAnsi" w:cs="Times New Roman"/>
          <w:color w:val="19191A"/>
          <w:lang w:eastAsia="it-IT"/>
        </w:rPr>
        <w:t> su proposta del Ministro del lavoro e delle politiche sociali, di concerto con il Ministro dell'economia e delle finanze, previa intesa in sede di Conferenza Unificata, acquisito il parere delle Commissioni parlamentari competenti, che si esprimono entro trenta giorni dalla data di trasmissione del decreto, decorsi i quali quest'ultimo può essere comunque adottato.</w:t>
      </w:r>
    </w:p>
    <w:sectPr w:rsidR="00436434" w:rsidRPr="00436434" w:rsidSect="00DE2FC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D393C"/>
    <w:multiLevelType w:val="hybridMultilevel"/>
    <w:tmpl w:val="7870D1B6"/>
    <w:lvl w:ilvl="0" w:tplc="04100017">
      <w:start w:val="1"/>
      <w:numFmt w:val="lowerLetter"/>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F3603DB"/>
    <w:multiLevelType w:val="hybridMultilevel"/>
    <w:tmpl w:val="0EF651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4390EF0"/>
    <w:multiLevelType w:val="hybridMultilevel"/>
    <w:tmpl w:val="FA08C256"/>
    <w:lvl w:ilvl="0" w:tplc="FC3ADA6C">
      <w:start w:val="1"/>
      <w:numFmt w:val="decimal"/>
      <w:lvlText w:val="%1."/>
      <w:lvlJc w:val="left"/>
      <w:pPr>
        <w:ind w:left="3195"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5607B29"/>
    <w:multiLevelType w:val="hybridMultilevel"/>
    <w:tmpl w:val="EC72715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00A2792"/>
    <w:multiLevelType w:val="hybridMultilevel"/>
    <w:tmpl w:val="3490D8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85243110">
    <w:abstractNumId w:val="4"/>
  </w:num>
  <w:num w:numId="2" w16cid:durableId="326519995">
    <w:abstractNumId w:val="3"/>
  </w:num>
  <w:num w:numId="3" w16cid:durableId="1244335442">
    <w:abstractNumId w:val="1"/>
  </w:num>
  <w:num w:numId="4" w16cid:durableId="1449280279">
    <w:abstractNumId w:val="2"/>
  </w:num>
  <w:num w:numId="5" w16cid:durableId="556665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2B06B2"/>
    <w:rsid w:val="00043D9A"/>
    <w:rsid w:val="001D0756"/>
    <w:rsid w:val="001E2BD1"/>
    <w:rsid w:val="002656D8"/>
    <w:rsid w:val="002A057F"/>
    <w:rsid w:val="002B06B2"/>
    <w:rsid w:val="003377AA"/>
    <w:rsid w:val="00376689"/>
    <w:rsid w:val="00390067"/>
    <w:rsid w:val="003B0E5E"/>
    <w:rsid w:val="00436434"/>
    <w:rsid w:val="004F5CC2"/>
    <w:rsid w:val="00521A9D"/>
    <w:rsid w:val="005245B2"/>
    <w:rsid w:val="00550691"/>
    <w:rsid w:val="005B745E"/>
    <w:rsid w:val="005E324F"/>
    <w:rsid w:val="00896743"/>
    <w:rsid w:val="00933AFB"/>
    <w:rsid w:val="00A2091D"/>
    <w:rsid w:val="00A25184"/>
    <w:rsid w:val="00AF46E2"/>
    <w:rsid w:val="00B47926"/>
    <w:rsid w:val="00DC3B07"/>
    <w:rsid w:val="00DE2FCD"/>
    <w:rsid w:val="00E07A55"/>
    <w:rsid w:val="00E80F5A"/>
    <w:rsid w:val="00F06AE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443EA"/>
  <w15:docId w15:val="{5154A0D1-AAFB-4235-BD12-F1DE79835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2FC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iPriority w:val="99"/>
    <w:semiHidden/>
    <w:unhideWhenUsed/>
    <w:rsid w:val="002B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2B06B2"/>
    <w:rPr>
      <w:rFonts w:ascii="Courier New" w:eastAsia="Times New Roman" w:hAnsi="Courier New" w:cs="Courier New"/>
      <w:sz w:val="20"/>
      <w:szCs w:val="20"/>
      <w:lang w:eastAsia="it-IT"/>
    </w:rPr>
  </w:style>
  <w:style w:type="paragraph" w:styleId="Paragrafoelenco">
    <w:name w:val="List Paragraph"/>
    <w:basedOn w:val="Normale"/>
    <w:uiPriority w:val="34"/>
    <w:qFormat/>
    <w:rsid w:val="005B745E"/>
    <w:pPr>
      <w:ind w:left="720"/>
      <w:contextualSpacing/>
    </w:pPr>
  </w:style>
  <w:style w:type="character" w:styleId="Collegamentoipertestuale">
    <w:name w:val="Hyperlink"/>
    <w:basedOn w:val="Carpredefinitoparagrafo"/>
    <w:uiPriority w:val="99"/>
    <w:semiHidden/>
    <w:unhideWhenUsed/>
    <w:rsid w:val="00436434"/>
    <w:rPr>
      <w:color w:val="0000FF"/>
      <w:u w:val="single"/>
    </w:rPr>
  </w:style>
  <w:style w:type="character" w:customStyle="1" w:styleId="comma-num-akn">
    <w:name w:val="comma-num-akn"/>
    <w:basedOn w:val="Carpredefinitoparagrafo"/>
    <w:rsid w:val="00436434"/>
  </w:style>
  <w:style w:type="character" w:customStyle="1" w:styleId="arttextincomma">
    <w:name w:val="art_text_in_comma"/>
    <w:basedOn w:val="Carpredefinitoparagrafo"/>
    <w:rsid w:val="00436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1057">
      <w:bodyDiv w:val="1"/>
      <w:marLeft w:val="0"/>
      <w:marRight w:val="0"/>
      <w:marTop w:val="0"/>
      <w:marBottom w:val="0"/>
      <w:divBdr>
        <w:top w:val="none" w:sz="0" w:space="0" w:color="auto"/>
        <w:left w:val="none" w:sz="0" w:space="0" w:color="auto"/>
        <w:bottom w:val="none" w:sz="0" w:space="0" w:color="auto"/>
        <w:right w:val="none" w:sz="0" w:space="0" w:color="auto"/>
      </w:divBdr>
    </w:div>
    <w:div w:id="517626284">
      <w:bodyDiv w:val="1"/>
      <w:marLeft w:val="0"/>
      <w:marRight w:val="0"/>
      <w:marTop w:val="0"/>
      <w:marBottom w:val="0"/>
      <w:divBdr>
        <w:top w:val="none" w:sz="0" w:space="0" w:color="auto"/>
        <w:left w:val="none" w:sz="0" w:space="0" w:color="auto"/>
        <w:bottom w:val="none" w:sz="0" w:space="0" w:color="auto"/>
        <w:right w:val="none" w:sz="0" w:space="0" w:color="auto"/>
      </w:divBdr>
      <w:divsChild>
        <w:div w:id="1595018752">
          <w:marLeft w:val="0"/>
          <w:marRight w:val="0"/>
          <w:marTop w:val="0"/>
          <w:marBottom w:val="0"/>
          <w:divBdr>
            <w:top w:val="none" w:sz="0" w:space="0" w:color="auto"/>
            <w:left w:val="none" w:sz="0" w:space="0" w:color="auto"/>
            <w:bottom w:val="none" w:sz="0" w:space="0" w:color="auto"/>
            <w:right w:val="none" w:sz="0" w:space="0" w:color="auto"/>
          </w:divBdr>
          <w:divsChild>
            <w:div w:id="1666283651">
              <w:marLeft w:val="0"/>
              <w:marRight w:val="0"/>
              <w:marTop w:val="0"/>
              <w:marBottom w:val="0"/>
              <w:divBdr>
                <w:top w:val="none" w:sz="0" w:space="0" w:color="auto"/>
                <w:left w:val="none" w:sz="0" w:space="0" w:color="auto"/>
                <w:bottom w:val="none" w:sz="0" w:space="0" w:color="auto"/>
                <w:right w:val="none" w:sz="0" w:space="0" w:color="auto"/>
              </w:divBdr>
            </w:div>
            <w:div w:id="1685785732">
              <w:marLeft w:val="0"/>
              <w:marRight w:val="0"/>
              <w:marTop w:val="0"/>
              <w:marBottom w:val="0"/>
              <w:divBdr>
                <w:top w:val="none" w:sz="0" w:space="0" w:color="auto"/>
                <w:left w:val="none" w:sz="0" w:space="0" w:color="auto"/>
                <w:bottom w:val="none" w:sz="0" w:space="0" w:color="auto"/>
                <w:right w:val="none" w:sz="0" w:space="0" w:color="auto"/>
              </w:divBdr>
            </w:div>
            <w:div w:id="958803019">
              <w:marLeft w:val="0"/>
              <w:marRight w:val="0"/>
              <w:marTop w:val="0"/>
              <w:marBottom w:val="0"/>
              <w:divBdr>
                <w:top w:val="none" w:sz="0" w:space="0" w:color="auto"/>
                <w:left w:val="none" w:sz="0" w:space="0" w:color="auto"/>
                <w:bottom w:val="none" w:sz="0" w:space="0" w:color="auto"/>
                <w:right w:val="none" w:sz="0" w:space="0" w:color="auto"/>
              </w:divBdr>
            </w:div>
            <w:div w:id="1636566250">
              <w:marLeft w:val="0"/>
              <w:marRight w:val="0"/>
              <w:marTop w:val="0"/>
              <w:marBottom w:val="0"/>
              <w:divBdr>
                <w:top w:val="none" w:sz="0" w:space="0" w:color="auto"/>
                <w:left w:val="none" w:sz="0" w:space="0" w:color="auto"/>
                <w:bottom w:val="none" w:sz="0" w:space="0" w:color="auto"/>
                <w:right w:val="none" w:sz="0" w:space="0" w:color="auto"/>
              </w:divBdr>
            </w:div>
            <w:div w:id="2061856735">
              <w:marLeft w:val="0"/>
              <w:marRight w:val="0"/>
              <w:marTop w:val="0"/>
              <w:marBottom w:val="0"/>
              <w:divBdr>
                <w:top w:val="none" w:sz="0" w:space="0" w:color="auto"/>
                <w:left w:val="none" w:sz="0" w:space="0" w:color="auto"/>
                <w:bottom w:val="none" w:sz="0" w:space="0" w:color="auto"/>
                <w:right w:val="none" w:sz="0" w:space="0" w:color="auto"/>
              </w:divBdr>
              <w:divsChild>
                <w:div w:id="481236396">
                  <w:marLeft w:val="0"/>
                  <w:marRight w:val="0"/>
                  <w:marTop w:val="0"/>
                  <w:marBottom w:val="0"/>
                  <w:divBdr>
                    <w:top w:val="none" w:sz="0" w:space="0" w:color="auto"/>
                    <w:left w:val="none" w:sz="0" w:space="0" w:color="auto"/>
                    <w:bottom w:val="none" w:sz="0" w:space="0" w:color="auto"/>
                    <w:right w:val="none" w:sz="0" w:space="0" w:color="auto"/>
                  </w:divBdr>
                </w:div>
              </w:divsChild>
            </w:div>
            <w:div w:id="1527525396">
              <w:marLeft w:val="0"/>
              <w:marRight w:val="0"/>
              <w:marTop w:val="0"/>
              <w:marBottom w:val="0"/>
              <w:divBdr>
                <w:top w:val="none" w:sz="0" w:space="0" w:color="auto"/>
                <w:left w:val="none" w:sz="0" w:space="0" w:color="auto"/>
                <w:bottom w:val="none" w:sz="0" w:space="0" w:color="auto"/>
                <w:right w:val="none" w:sz="0" w:space="0" w:color="auto"/>
              </w:divBdr>
            </w:div>
            <w:div w:id="1974943496">
              <w:marLeft w:val="0"/>
              <w:marRight w:val="0"/>
              <w:marTop w:val="0"/>
              <w:marBottom w:val="0"/>
              <w:divBdr>
                <w:top w:val="none" w:sz="0" w:space="0" w:color="auto"/>
                <w:left w:val="none" w:sz="0" w:space="0" w:color="auto"/>
                <w:bottom w:val="none" w:sz="0" w:space="0" w:color="auto"/>
                <w:right w:val="none" w:sz="0" w:space="0" w:color="auto"/>
              </w:divBdr>
            </w:div>
            <w:div w:id="1101341421">
              <w:marLeft w:val="0"/>
              <w:marRight w:val="0"/>
              <w:marTop w:val="0"/>
              <w:marBottom w:val="0"/>
              <w:divBdr>
                <w:top w:val="none" w:sz="0" w:space="0" w:color="auto"/>
                <w:left w:val="none" w:sz="0" w:space="0" w:color="auto"/>
                <w:bottom w:val="none" w:sz="0" w:space="0" w:color="auto"/>
                <w:right w:val="none" w:sz="0" w:space="0" w:color="auto"/>
              </w:divBdr>
            </w:div>
            <w:div w:id="2006281697">
              <w:marLeft w:val="0"/>
              <w:marRight w:val="0"/>
              <w:marTop w:val="0"/>
              <w:marBottom w:val="0"/>
              <w:divBdr>
                <w:top w:val="none" w:sz="0" w:space="0" w:color="auto"/>
                <w:left w:val="none" w:sz="0" w:space="0" w:color="auto"/>
                <w:bottom w:val="none" w:sz="0" w:space="0" w:color="auto"/>
                <w:right w:val="none" w:sz="0" w:space="0" w:color="auto"/>
              </w:divBdr>
            </w:div>
            <w:div w:id="2092264764">
              <w:marLeft w:val="0"/>
              <w:marRight w:val="0"/>
              <w:marTop w:val="0"/>
              <w:marBottom w:val="0"/>
              <w:divBdr>
                <w:top w:val="none" w:sz="0" w:space="0" w:color="auto"/>
                <w:left w:val="none" w:sz="0" w:space="0" w:color="auto"/>
                <w:bottom w:val="none" w:sz="0" w:space="0" w:color="auto"/>
                <w:right w:val="none" w:sz="0" w:space="0" w:color="auto"/>
              </w:divBdr>
            </w:div>
            <w:div w:id="899635728">
              <w:marLeft w:val="0"/>
              <w:marRight w:val="0"/>
              <w:marTop w:val="0"/>
              <w:marBottom w:val="0"/>
              <w:divBdr>
                <w:top w:val="none" w:sz="0" w:space="0" w:color="auto"/>
                <w:left w:val="none" w:sz="0" w:space="0" w:color="auto"/>
                <w:bottom w:val="none" w:sz="0" w:space="0" w:color="auto"/>
                <w:right w:val="none" w:sz="0" w:space="0" w:color="auto"/>
              </w:divBdr>
            </w:div>
            <w:div w:id="789544335">
              <w:marLeft w:val="0"/>
              <w:marRight w:val="0"/>
              <w:marTop w:val="0"/>
              <w:marBottom w:val="0"/>
              <w:divBdr>
                <w:top w:val="none" w:sz="0" w:space="0" w:color="auto"/>
                <w:left w:val="none" w:sz="0" w:space="0" w:color="auto"/>
                <w:bottom w:val="none" w:sz="0" w:space="0" w:color="auto"/>
                <w:right w:val="none" w:sz="0" w:space="0" w:color="auto"/>
              </w:divBdr>
            </w:div>
            <w:div w:id="173616707">
              <w:marLeft w:val="0"/>
              <w:marRight w:val="0"/>
              <w:marTop w:val="0"/>
              <w:marBottom w:val="0"/>
              <w:divBdr>
                <w:top w:val="none" w:sz="0" w:space="0" w:color="auto"/>
                <w:left w:val="none" w:sz="0" w:space="0" w:color="auto"/>
                <w:bottom w:val="none" w:sz="0" w:space="0" w:color="auto"/>
                <w:right w:val="none" w:sz="0" w:space="0" w:color="auto"/>
              </w:divBdr>
            </w:div>
            <w:div w:id="1307857039">
              <w:marLeft w:val="0"/>
              <w:marRight w:val="0"/>
              <w:marTop w:val="0"/>
              <w:marBottom w:val="0"/>
              <w:divBdr>
                <w:top w:val="none" w:sz="0" w:space="0" w:color="auto"/>
                <w:left w:val="none" w:sz="0" w:space="0" w:color="auto"/>
                <w:bottom w:val="none" w:sz="0" w:space="0" w:color="auto"/>
                <w:right w:val="none" w:sz="0" w:space="0" w:color="auto"/>
              </w:divBdr>
            </w:div>
            <w:div w:id="540479607">
              <w:marLeft w:val="0"/>
              <w:marRight w:val="0"/>
              <w:marTop w:val="0"/>
              <w:marBottom w:val="0"/>
              <w:divBdr>
                <w:top w:val="none" w:sz="0" w:space="0" w:color="auto"/>
                <w:left w:val="none" w:sz="0" w:space="0" w:color="auto"/>
                <w:bottom w:val="none" w:sz="0" w:space="0" w:color="auto"/>
                <w:right w:val="none" w:sz="0" w:space="0" w:color="auto"/>
              </w:divBdr>
            </w:div>
            <w:div w:id="769667908">
              <w:marLeft w:val="0"/>
              <w:marRight w:val="0"/>
              <w:marTop w:val="0"/>
              <w:marBottom w:val="0"/>
              <w:divBdr>
                <w:top w:val="none" w:sz="0" w:space="0" w:color="auto"/>
                <w:left w:val="none" w:sz="0" w:space="0" w:color="auto"/>
                <w:bottom w:val="none" w:sz="0" w:space="0" w:color="auto"/>
                <w:right w:val="none" w:sz="0" w:space="0" w:color="auto"/>
              </w:divBdr>
            </w:div>
            <w:div w:id="1430462733">
              <w:marLeft w:val="0"/>
              <w:marRight w:val="0"/>
              <w:marTop w:val="0"/>
              <w:marBottom w:val="0"/>
              <w:divBdr>
                <w:top w:val="none" w:sz="0" w:space="0" w:color="auto"/>
                <w:left w:val="none" w:sz="0" w:space="0" w:color="auto"/>
                <w:bottom w:val="none" w:sz="0" w:space="0" w:color="auto"/>
                <w:right w:val="none" w:sz="0" w:space="0" w:color="auto"/>
              </w:divBdr>
            </w:div>
            <w:div w:id="2134713331">
              <w:marLeft w:val="0"/>
              <w:marRight w:val="0"/>
              <w:marTop w:val="0"/>
              <w:marBottom w:val="0"/>
              <w:divBdr>
                <w:top w:val="none" w:sz="0" w:space="0" w:color="auto"/>
                <w:left w:val="none" w:sz="0" w:space="0" w:color="auto"/>
                <w:bottom w:val="none" w:sz="0" w:space="0" w:color="auto"/>
                <w:right w:val="none" w:sz="0" w:space="0" w:color="auto"/>
              </w:divBdr>
            </w:div>
            <w:div w:id="783305703">
              <w:marLeft w:val="0"/>
              <w:marRight w:val="0"/>
              <w:marTop w:val="0"/>
              <w:marBottom w:val="0"/>
              <w:divBdr>
                <w:top w:val="none" w:sz="0" w:space="0" w:color="auto"/>
                <w:left w:val="none" w:sz="0" w:space="0" w:color="auto"/>
                <w:bottom w:val="none" w:sz="0" w:space="0" w:color="auto"/>
                <w:right w:val="none" w:sz="0" w:space="0" w:color="auto"/>
              </w:divBdr>
            </w:div>
            <w:div w:id="76096229">
              <w:marLeft w:val="0"/>
              <w:marRight w:val="0"/>
              <w:marTop w:val="0"/>
              <w:marBottom w:val="0"/>
              <w:divBdr>
                <w:top w:val="none" w:sz="0" w:space="0" w:color="auto"/>
                <w:left w:val="none" w:sz="0" w:space="0" w:color="auto"/>
                <w:bottom w:val="none" w:sz="0" w:space="0" w:color="auto"/>
                <w:right w:val="none" w:sz="0" w:space="0" w:color="auto"/>
              </w:divBdr>
            </w:div>
            <w:div w:id="1205941579">
              <w:marLeft w:val="0"/>
              <w:marRight w:val="0"/>
              <w:marTop w:val="0"/>
              <w:marBottom w:val="0"/>
              <w:divBdr>
                <w:top w:val="none" w:sz="0" w:space="0" w:color="auto"/>
                <w:left w:val="none" w:sz="0" w:space="0" w:color="auto"/>
                <w:bottom w:val="none" w:sz="0" w:space="0" w:color="auto"/>
                <w:right w:val="none" w:sz="0" w:space="0" w:color="auto"/>
              </w:divBdr>
            </w:div>
            <w:div w:id="175583886">
              <w:marLeft w:val="0"/>
              <w:marRight w:val="0"/>
              <w:marTop w:val="0"/>
              <w:marBottom w:val="0"/>
              <w:divBdr>
                <w:top w:val="none" w:sz="0" w:space="0" w:color="auto"/>
                <w:left w:val="none" w:sz="0" w:space="0" w:color="auto"/>
                <w:bottom w:val="none" w:sz="0" w:space="0" w:color="auto"/>
                <w:right w:val="none" w:sz="0" w:space="0" w:color="auto"/>
              </w:divBdr>
            </w:div>
            <w:div w:id="60833332">
              <w:marLeft w:val="0"/>
              <w:marRight w:val="0"/>
              <w:marTop w:val="0"/>
              <w:marBottom w:val="0"/>
              <w:divBdr>
                <w:top w:val="none" w:sz="0" w:space="0" w:color="auto"/>
                <w:left w:val="none" w:sz="0" w:space="0" w:color="auto"/>
                <w:bottom w:val="none" w:sz="0" w:space="0" w:color="auto"/>
                <w:right w:val="none" w:sz="0" w:space="0" w:color="auto"/>
              </w:divBdr>
            </w:div>
            <w:div w:id="2083066009">
              <w:marLeft w:val="0"/>
              <w:marRight w:val="0"/>
              <w:marTop w:val="0"/>
              <w:marBottom w:val="0"/>
              <w:divBdr>
                <w:top w:val="none" w:sz="0" w:space="0" w:color="auto"/>
                <w:left w:val="none" w:sz="0" w:space="0" w:color="auto"/>
                <w:bottom w:val="none" w:sz="0" w:space="0" w:color="auto"/>
                <w:right w:val="none" w:sz="0" w:space="0" w:color="auto"/>
              </w:divBdr>
            </w:div>
            <w:div w:id="1288507946">
              <w:marLeft w:val="0"/>
              <w:marRight w:val="0"/>
              <w:marTop w:val="0"/>
              <w:marBottom w:val="0"/>
              <w:divBdr>
                <w:top w:val="none" w:sz="0" w:space="0" w:color="auto"/>
                <w:left w:val="none" w:sz="0" w:space="0" w:color="auto"/>
                <w:bottom w:val="none" w:sz="0" w:space="0" w:color="auto"/>
                <w:right w:val="none" w:sz="0" w:space="0" w:color="auto"/>
              </w:divBdr>
            </w:div>
            <w:div w:id="194479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675515">
      <w:bodyDiv w:val="1"/>
      <w:marLeft w:val="0"/>
      <w:marRight w:val="0"/>
      <w:marTop w:val="0"/>
      <w:marBottom w:val="0"/>
      <w:divBdr>
        <w:top w:val="none" w:sz="0" w:space="0" w:color="auto"/>
        <w:left w:val="none" w:sz="0" w:space="0" w:color="auto"/>
        <w:bottom w:val="none" w:sz="0" w:space="0" w:color="auto"/>
        <w:right w:val="none" w:sz="0" w:space="0" w:color="auto"/>
      </w:divBdr>
    </w:div>
    <w:div w:id="710149007">
      <w:bodyDiv w:val="1"/>
      <w:marLeft w:val="0"/>
      <w:marRight w:val="0"/>
      <w:marTop w:val="0"/>
      <w:marBottom w:val="0"/>
      <w:divBdr>
        <w:top w:val="none" w:sz="0" w:space="0" w:color="auto"/>
        <w:left w:val="none" w:sz="0" w:space="0" w:color="auto"/>
        <w:bottom w:val="none" w:sz="0" w:space="0" w:color="auto"/>
        <w:right w:val="none" w:sz="0" w:space="0" w:color="auto"/>
      </w:divBdr>
    </w:div>
    <w:div w:id="114789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legge:2016-06-22;112" TargetMode="External"/><Relationship Id="rId13" Type="http://schemas.openxmlformats.org/officeDocument/2006/relationships/hyperlink" Target="https://www.normattiva.it/uri-res/N2Ls?urn:nir:stato:decreto.legislativo:2004-01-22;42" TargetMode="External"/><Relationship Id="rId18" Type="http://schemas.openxmlformats.org/officeDocument/2006/relationships/hyperlink" Target="https://www.normattiva.it/uri-res/N2Ls?urn:nir:stato:legge:2016-08-19;16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normattiva.it/uri-res/N2Ls?urn:nir:stato:legge:1983-05-04;184" TargetMode="External"/><Relationship Id="rId7" Type="http://schemas.openxmlformats.org/officeDocument/2006/relationships/hyperlink" Target="https://www.normattiva.it/uri-res/N2Ls?urn:nir:stato:legge:1992-02-05;104" TargetMode="External"/><Relationship Id="rId12" Type="http://schemas.openxmlformats.org/officeDocument/2006/relationships/hyperlink" Target="https://www.normattiva.it/uri-res/N2Ls?urn:nir:stato:decreto.legislativo:2021-11-08;199" TargetMode="External"/><Relationship Id="rId17" Type="http://schemas.openxmlformats.org/officeDocument/2006/relationships/hyperlink" Target="https://www.normattiva.it/uri-res/N2Ls?urn:nir:stato:legge:2015-08-18;141~art2"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ormattiva.it/uri-res/N2Ls?urn:nir:stato:legge:2016-06-06;106~art1-com2-letc" TargetMode="External"/><Relationship Id="rId20" Type="http://schemas.openxmlformats.org/officeDocument/2006/relationships/hyperlink" Target="https://www.normattiva.it/uri-res/N2Ls?urn:nir:stato:legge:2007-12-24;244~art1-com266" TargetMode="External"/><Relationship Id="rId1" Type="http://schemas.openxmlformats.org/officeDocument/2006/relationships/numbering" Target="numbering.xml"/><Relationship Id="rId6" Type="http://schemas.openxmlformats.org/officeDocument/2006/relationships/hyperlink" Target="https://www.normattiva.it/uri-res/N2Ls?urn:nir:stato:legge:2000-11-08;328~art1-com2" TargetMode="External"/><Relationship Id="rId11" Type="http://schemas.openxmlformats.org/officeDocument/2006/relationships/hyperlink" Target="https://www.normattiva.it/uri-res/N2Ls?urn:nir:stato:legge:1991-08-14;281" TargetMode="External"/><Relationship Id="rId24" Type="http://schemas.openxmlformats.org/officeDocument/2006/relationships/hyperlink" Target="https://www.normattiva.it/uri-res/N2Ls?urn:nir:stato:legge:1988-08-23;400~art17-com3" TargetMode="External"/><Relationship Id="rId5" Type="http://schemas.openxmlformats.org/officeDocument/2006/relationships/hyperlink" Target="https://www.normattiva.it/uri-res/N2Ls?urn:nir:stato:legge:2000-11-08;328~art1-com1" TargetMode="External"/><Relationship Id="rId15" Type="http://schemas.openxmlformats.org/officeDocument/2006/relationships/hyperlink" Target="https://www.normattiva.it/uri-res/N2Ls?urn:nir:stato:legge:2014-08-11;125" TargetMode="External"/><Relationship Id="rId23" Type="http://schemas.openxmlformats.org/officeDocument/2006/relationships/hyperlink" Target="https://www.normattiva.it/uri-res/N2Ls?urn:nir:stato:legge:2016-06-06;106~art1-com1" TargetMode="External"/><Relationship Id="rId10" Type="http://schemas.openxmlformats.org/officeDocument/2006/relationships/hyperlink" Target="https://www.normattiva.it/uri-res/N2Ls?urn:nir:stato:legge:2003-03-28;53" TargetMode="External"/><Relationship Id="rId19" Type="http://schemas.openxmlformats.org/officeDocument/2006/relationships/hyperlink" Target="https://www.normattiva.it/uri-res/N2Ls?urn:nir:stato:legge:2000-03-08;53~art27" TargetMode="External"/><Relationship Id="rId4" Type="http://schemas.openxmlformats.org/officeDocument/2006/relationships/webSettings" Target="webSettings.xml"/><Relationship Id="rId9" Type="http://schemas.openxmlformats.org/officeDocument/2006/relationships/hyperlink" Target="http://www.gazzettaufficiale.it/gazzetta/serie_generale/caricaDettaglio?dataPubblicazioneGazzetta=2001-06-06&amp;numeroGazzetta=129" TargetMode="External"/><Relationship Id="rId14" Type="http://schemas.openxmlformats.org/officeDocument/2006/relationships/hyperlink" Target="https://www.normattiva.it/uri-res/N2Ls?urn:nir:stato:legge:1990-08-06;223~art16-com5" TargetMode="External"/><Relationship Id="rId22" Type="http://schemas.openxmlformats.org/officeDocument/2006/relationships/hyperlink" Target="https://www.normattiva.it/uri-res/N2Ls?urn:nir:stato:legge:1992-02-24;225"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1316</Words>
  <Characters>7503</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Consulenza</cp:lastModifiedBy>
  <cp:revision>17</cp:revision>
  <cp:lastPrinted>2022-02-03T14:16:00Z</cp:lastPrinted>
  <dcterms:created xsi:type="dcterms:W3CDTF">2019-05-17T08:13:00Z</dcterms:created>
  <dcterms:modified xsi:type="dcterms:W3CDTF">2025-12-15T15:02:00Z</dcterms:modified>
</cp:coreProperties>
</file>